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青岛洛克环保科技有限公司</w:t>
      </w:r>
    </w:p>
    <w:p>
      <w:pPr>
        <w:pStyle w:val="9"/>
        <w:shd w:val="clear" w:color="auto" w:fill="FFFFFF"/>
        <w:spacing w:after="0" w:line="480" w:lineRule="auto"/>
        <w:jc w:val="both"/>
        <w:rPr>
          <w:rFonts w:cs="Times New Roman"/>
          <w:spacing w:val="8"/>
          <w:shd w:val="clear" w:color="auto" w:fill="FFFFFF"/>
        </w:rPr>
      </w:pPr>
      <w: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中建环能科技股份有限公司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西安益维普泰环保股份有限公司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南京贝特环保通用设备制造有限公司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江苏裕隆环保有限公司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南方泵业智水（杭州）科技有限公司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pPr>
      <w:r>
        <w:rPr>
          <w:rFonts w:hint="eastAsia"/>
        </w:rPr>
        <w:t>浦华环保有限公司</w:t>
      </w:r>
    </w:p>
    <w:p>
      <w:pPr>
        <w:pStyle w:val="9"/>
        <w:shd w:val="clear" w:color="auto" w:fill="FFFFFF"/>
        <w:spacing w:after="0" w:line="480" w:lineRule="auto"/>
        <w:jc w:val="both"/>
        <w:rPr>
          <w:rFonts w:hint="eastAsia"/>
        </w:rPr>
      </w:pPr>
      <w:r>
        <w:rPr>
          <w:rFonts w:hint="eastAsia"/>
        </w:rPr>
        <w:t>深圳市清研环境科技有限公司</w:t>
      </w:r>
    </w:p>
    <w:p>
      <w:pPr>
        <w:pStyle w:val="9"/>
        <w:shd w:val="clear" w:color="auto" w:fill="FFFFFF"/>
        <w:spacing w:after="0" w:line="480" w:lineRule="auto"/>
        <w:jc w:val="both"/>
        <w:rPr>
          <w:rFonts w:cs="Times New Roman"/>
          <w:spacing w:val="8"/>
          <w:shd w:val="clear" w:color="auto" w:fill="FFFFFF"/>
        </w:rPr>
      </w:pPr>
      <w:r>
        <w:rPr>
          <w:rFonts w:hint="eastAsia"/>
        </w:rPr>
        <w:t xml:space="preserve">华霖富水利环境技术咨询(上海)有限公司 </w:t>
      </w:r>
    </w:p>
    <w:p>
      <w:pPr>
        <w:pStyle w:val="9"/>
        <w:shd w:val="clear" w:color="auto" w:fill="FFFFFF"/>
        <w:spacing w:after="0" w:line="480" w:lineRule="auto"/>
        <w:jc w:val="both"/>
        <w:rPr>
          <w:rFonts w:hint="eastAsia"/>
        </w:rPr>
      </w:pPr>
      <w:r>
        <w:rPr>
          <w:rFonts w:hint="eastAsia"/>
        </w:rPr>
        <w:t>北京清控人居环境研究院</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广东中科鸿捷环保科技有限公司</w:t>
      </w:r>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上海世浦泰膜科技有限公司</w:t>
      </w:r>
      <w:bookmarkStart w:id="1" w:name="_GoBack"/>
      <w:bookmarkEnd w:id="1"/>
    </w:p>
    <w:p>
      <w:pPr>
        <w:pStyle w:val="9"/>
        <w:shd w:val="clear" w:color="auto" w:fill="FFFFFF"/>
        <w:spacing w:after="0" w:line="480" w:lineRule="auto"/>
        <w:jc w:val="both"/>
        <w:rPr>
          <w:rFonts w:hint="eastAsia" w:cs="Times New Roman"/>
          <w:spacing w:val="8"/>
          <w:shd w:val="clear" w:color="auto" w:fill="FFFFFF"/>
        </w:rPr>
      </w:pPr>
      <w:r>
        <w:rPr>
          <w:rFonts w:hint="eastAsia" w:cs="Times New Roman"/>
          <w:spacing w:val="8"/>
          <w:shd w:val="clear" w:color="auto" w:fill="FFFFFF"/>
        </w:rPr>
        <w:t>湖南科友环保有限公司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z w:val="24"/>
        </w:rPr>
      </w:pPr>
      <w:r>
        <w:rPr>
          <w:rFonts w:hint="eastAsia" w:ascii="宋体" w:hAnsi="宋体"/>
          <w:sz w:val="24"/>
        </w:rPr>
        <w:t>广州晟启能源设备有限公司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赢特环保科技（无锡）有限公司</w:t>
      </w:r>
    </w:p>
    <w:p>
      <w:pPr>
        <w:pStyle w:val="9"/>
        <w:shd w:val="clear" w:color="auto" w:fill="FFFFFF"/>
        <w:spacing w:after="0" w:line="480" w:lineRule="auto"/>
        <w:jc w:val="both"/>
        <w:rPr>
          <w:rFonts w:hint="eastAsia" w:cs="Times New Roman"/>
          <w:color w:val="000000"/>
          <w:spacing w:val="8"/>
          <w:shd w:val="clear" w:color="auto" w:fill="FFFFFF"/>
        </w:rPr>
      </w:pPr>
      <w:r>
        <w:rPr>
          <w:rFonts w:hint="eastAsia" w:cs="Times New Roman"/>
          <w:color w:val="000000"/>
          <w:spacing w:val="8"/>
          <w:shd w:val="clear" w:color="auto" w:fill="FFFFFF"/>
        </w:rPr>
        <w:t>上海泓济环保科技股份有限公司</w:t>
      </w:r>
    </w:p>
    <w:p>
      <w:pPr>
        <w:pStyle w:val="9"/>
        <w:shd w:val="clear" w:color="auto" w:fill="FFFFFF"/>
        <w:spacing w:after="0" w:line="480" w:lineRule="auto"/>
        <w:jc w:val="both"/>
        <w:rPr>
          <w:rFonts w:hint="eastAsia" w:ascii="宋体" w:hAnsi="宋体"/>
        </w:rPr>
      </w:pPr>
      <w:r>
        <w:rPr>
          <w:rFonts w:hint="eastAsia" w:ascii="宋体" w:hAnsi="宋体"/>
        </w:rPr>
        <w:t>中麒赋能水务科技股份有限公司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国美(天津)水技术工程有限公司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sz w:val="24"/>
        </w:rPr>
        <w:t>武汉中仪物联技术股份有限公司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rPr>
      </w:pPr>
      <w:r>
        <w:rPr>
          <w:rFonts w:hint="eastAsia" w:ascii="宋体" w:hAnsi="宋体"/>
          <w:sz w:val="24"/>
        </w:rPr>
        <w:t>《给水排水》杂志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cs="Arial"/>
          <w:sz w:val="24"/>
        </w:rPr>
      </w:pPr>
      <w:r>
        <w:rPr>
          <w:rFonts w:hint="eastAsia" w:ascii="宋体" w:hAnsi="宋体" w:cs="Arial"/>
          <w:sz w:val="24"/>
        </w:rPr>
        <w:t xml:space="preserve">德国 </w:t>
      </w:r>
      <w:r>
        <w:rPr>
          <w:rFonts w:ascii="宋体" w:hAnsi="宋体" w:cs="Arial"/>
          <w:sz w:val="24"/>
        </w:rPr>
        <w:t>BHU Umwelttechnik GmbH</w:t>
      </w:r>
    </w:p>
    <w:p>
      <w:pPr>
        <w:spacing w:line="480" w:lineRule="auto"/>
        <w:rPr>
          <w:rFonts w:ascii="宋体" w:hAnsi="宋体" w:cs="Arial"/>
          <w:sz w:val="24"/>
        </w:rPr>
      </w:pPr>
      <w:r>
        <w:rPr>
          <w:rFonts w:hint="eastAsia" w:ascii="宋体" w:hAnsi="宋体" w:cs="Arial"/>
          <w:sz w:val="24"/>
        </w:rPr>
        <w:t xml:space="preserve">杭州楚环科技股份有限公司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rPr>
      </w:pPr>
      <w:r>
        <w:rPr>
          <w:rFonts w:hint="eastAsia" w:ascii="宋体" w:hAnsi="宋体"/>
          <w:sz w:val="24"/>
        </w:rPr>
        <w:t>海宁亚大塑料管道系统有限公司</w:t>
      </w:r>
    </w:p>
    <w:p>
      <w:pPr>
        <w:spacing w:line="480" w:lineRule="auto"/>
        <w:rPr>
          <w:rFonts w:hint="eastAsia" w:ascii="宋体" w:hAnsi="宋体"/>
          <w:sz w:val="24"/>
        </w:rPr>
      </w:pPr>
      <w:r>
        <w:rPr>
          <w:rFonts w:hint="eastAsia" w:ascii="宋体" w:hAnsi="宋体"/>
          <w:sz w:val="24"/>
        </w:rPr>
        <w:t>南京蓝领环境科技有限公司</w:t>
      </w:r>
    </w:p>
    <w:p>
      <w:pPr>
        <w:spacing w:line="480" w:lineRule="auto"/>
        <w:rPr>
          <w:rFonts w:ascii="宋体" w:hAnsi="宋体"/>
          <w:sz w:val="24"/>
        </w:rPr>
      </w:pPr>
      <w:r>
        <w:rPr>
          <w:rFonts w:hint="eastAsia" w:ascii="宋体" w:hAnsi="宋体"/>
          <w:sz w:val="24"/>
        </w:rPr>
        <w:t xml:space="preserve">上海斯纳普膜分离科技有限公司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hint="eastAsia" w:ascii="宋体" w:hAnsi="宋体"/>
          <w:sz w:val="24"/>
        </w:rPr>
        <w:t>中规院（北京）规划设计公司生态市政院</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spacing w:line="480" w:lineRule="auto"/>
        <w:rPr>
          <w:rFonts w:hint="eastAsia" w:ascii="宋体" w:hAnsi="宋体"/>
          <w:sz w:val="24"/>
        </w:rPr>
      </w:pPr>
      <w:r>
        <w:rPr>
          <w:rFonts w:hint="eastAsia" w:ascii="宋体" w:hAnsi="宋体"/>
          <w:sz w:val="24"/>
        </w:rPr>
        <w:t>北京通成达生态科技有限公司</w:t>
      </w:r>
    </w:p>
    <w:p>
      <w:pPr>
        <w:spacing w:line="480" w:lineRule="auto"/>
        <w:rPr>
          <w:rFonts w:hint="eastAsia" w:ascii="宋体" w:hAnsi="宋体"/>
          <w:sz w:val="24"/>
        </w:rPr>
      </w:pPr>
      <w:r>
        <w:rPr>
          <w:rFonts w:hint="eastAsia" w:ascii="宋体" w:hAnsi="宋体"/>
          <w:sz w:val="24"/>
        </w:rPr>
        <w:t>深圳市宝安排水有限公司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w:t>
      </w:r>
      <w:r>
        <w:rPr>
          <w:rFonts w:hint="eastAsia" w:ascii="宋体" w:hAnsi="宋体"/>
          <w:sz w:val="24"/>
          <w:lang w:eastAsia="zh-CN"/>
        </w:rPr>
        <w:t>、</w:t>
      </w:r>
      <w:r>
        <w:rPr>
          <w:rFonts w:hint="eastAsia" w:ascii="宋体" w:hAnsi="宋体"/>
          <w:kern w:val="0"/>
          <w:sz w:val="24"/>
        </w:rPr>
        <w:t>中山大学土木工程学院</w:t>
      </w:r>
      <w:r>
        <w:rPr>
          <w:rFonts w:hint="eastAsia" w:ascii="宋体" w:hAnsi="宋体"/>
          <w:kern w:val="0"/>
          <w:sz w:val="24"/>
          <w:lang w:val="en-US" w:eastAsia="zh-CN"/>
        </w:rPr>
        <w:t xml:space="preserve"> </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spacing w:val="8"/>
          <w:shd w:val="clear" w:color="auto" w:fill="FFFFFF"/>
        </w:rPr>
        <w:t>青岛洛克环保科技有限公司</w:t>
      </w:r>
      <w:r>
        <w:rPr>
          <w:rFonts w:hint="eastAsia"/>
          <w:spacing w:val="8"/>
          <w:shd w:val="clear" w:color="auto" w:fill="FFFFFF"/>
        </w:rPr>
        <w:t>、</w:t>
      </w:r>
      <w:r>
        <w:rPr>
          <w:rFonts w:ascii="宋体" w:hAnsi="宋体"/>
          <w:sz w:val="24"/>
        </w:rPr>
        <w:t>中国市政工程华北设计研究总院、中国市政工程中南设计研究总院、中国建设科技集团、</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赛莱默(中国)有限公司周晟技术解决方案经理</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高效沉淀池改造为磁混凝沉淀池的案例应用与分析  </w:t>
      </w:r>
    </w:p>
    <w:p>
      <w:pPr>
        <w:spacing w:line="480" w:lineRule="auto"/>
        <w:rPr>
          <w:rFonts w:ascii="宋体" w:hAnsi="宋体"/>
          <w:b/>
          <w:sz w:val="24"/>
        </w:rPr>
      </w:pPr>
      <w:r>
        <w:rPr>
          <w:rFonts w:hint="eastAsia" w:ascii="宋体" w:hAnsi="宋体"/>
          <w:b/>
          <w:sz w:val="24"/>
        </w:rPr>
        <w:t>报告人：青岛洛克环保科技有限公司 霍槐槐董事长</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设计和运营综合指南.本文介绍了在制定指南之前,一些潜在的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上海世浦泰环保科技集团白海龙总工程师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刘道广 副总裁</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ascii="宋体" w:hAnsi="宋体" w:cs="宋体"/>
          <w:kern w:val="0"/>
          <w:sz w:val="24"/>
        </w:rPr>
        <w:t>谢小东</w:t>
      </w:r>
      <w:r>
        <w:rPr>
          <w:rFonts w:ascii="宋体" w:hAnsi="宋体"/>
          <w:sz w:val="24"/>
        </w:rPr>
        <w:t>技术</w:t>
      </w:r>
      <w:r>
        <w:rPr>
          <w:rFonts w:hint="eastAsia" w:ascii="宋体" w:hAnsi="宋体"/>
          <w:sz w:val="24"/>
        </w:rPr>
        <w:t>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深圳市清泉水业股份有限公司叶昌明董事长/高级工程师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广东芬尼克兹节能设备有限公司 易毅 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 xml:space="preserve">美国科氏滤膜系统有限公司 汪杰大中华区域经理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中国市政工程中南设计研究总院有限公司万年红副总工兼研究院院长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GmbH李树青项目经理/总经理助理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t>霍槐槐 董事长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2014年3月-2015年4月 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hint="eastAsia" w:ascii="宋体" w:hAnsi="宋体" w:cs="宋体"/>
          <w:kern w:val="0"/>
          <w:sz w:val="24"/>
          <w:lang w:eastAsia="zh-CN"/>
        </w:rPr>
        <w:t>、中国市政工程华北设计研究总院有限公司重庆分公司、中国建筑第五工程局有限公司</w:t>
      </w:r>
      <w:r>
        <w:rPr>
          <w:rFonts w:hint="eastAsia" w:ascii="宋体" w:hAnsi="宋体" w:cs="宋体"/>
          <w:kern w:val="0"/>
          <w:sz w:val="24"/>
          <w:lang w:val="en-US" w:eastAsia="zh-CN"/>
        </w:rPr>
        <w:t xml:space="preserve"> </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w:t>
      </w:r>
      <w:r>
        <w:rPr>
          <w:rFonts w:hint="eastAsia" w:ascii="宋体" w:hAnsi="宋体"/>
          <w:kern w:val="0"/>
          <w:szCs w:val="21"/>
          <w:lang w:val="en-US" w:eastAsia="zh-CN"/>
        </w:rPr>
        <w:t xml:space="preserve"> </w:t>
      </w:r>
      <w:r>
        <w:rPr>
          <w:rFonts w:ascii="宋体" w:hAnsi="宋体"/>
          <w:kern w:val="0"/>
          <w:sz w:val="24"/>
        </w:rPr>
        <w:t>等</w:t>
      </w:r>
      <w:r>
        <w:rPr>
          <w:rFonts w:hint="eastAsia" w:ascii="宋体" w:hAnsi="宋体"/>
          <w:kern w:val="0"/>
          <w:sz w:val="24"/>
          <w:lang w:val="en-US" w:eastAsia="zh-CN"/>
        </w:rPr>
        <w:t xml:space="preserve"> </w:t>
      </w:r>
      <w:r>
        <w:rPr>
          <w:rFonts w:ascii="宋体" w:hAnsi="宋体"/>
          <w:kern w:val="0"/>
          <w:sz w:val="24"/>
        </w:rPr>
        <w:t>。</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9"/>
        <w:shd w:val="clear" w:color="auto" w:fill="FFFFFF"/>
        <w:tabs>
          <w:tab w:val="left" w:pos="6510"/>
        </w:tabs>
        <w:spacing w:after="0" w:line="480" w:lineRule="auto"/>
        <w:rPr>
          <w:b/>
          <w:bCs/>
          <w:sz w:val="21"/>
          <w:szCs w:val="21"/>
        </w:rPr>
      </w:pPr>
      <w:r>
        <w:rPr>
          <w:rFonts w:hint="eastAsia"/>
          <w:b/>
          <w:color w:val="FF0000"/>
          <w:sz w:val="28"/>
          <w:szCs w:val="28"/>
        </w:rPr>
        <w:t>住宿</w:t>
      </w:r>
      <w:r>
        <w:rPr>
          <w:rFonts w:hint="eastAsia"/>
          <w:b/>
          <w:sz w:val="21"/>
          <w:szCs w:val="21"/>
        </w:rPr>
        <w:t>：</w:t>
      </w:r>
    </w:p>
    <w:p>
      <w:pPr>
        <w:pStyle w:val="9"/>
        <w:shd w:val="clear" w:color="auto" w:fill="FFFFFF"/>
        <w:tabs>
          <w:tab w:val="left" w:pos="6510"/>
        </w:tabs>
        <w:spacing w:after="0" w:line="480" w:lineRule="auto"/>
        <w:rPr>
          <w:sz w:val="21"/>
          <w:szCs w:val="21"/>
          <w:shd w:val="clear" w:color="auto" w:fill="FFFFFF"/>
        </w:rPr>
      </w:pPr>
      <w:r>
        <w:rPr>
          <w:rFonts w:hint="eastAsia"/>
          <w:sz w:val="21"/>
          <w:szCs w:val="21"/>
          <w:shd w:val="clear" w:color="auto" w:fill="FFFFFF"/>
        </w:rPr>
        <w:t>1 、会场酒店：</w:t>
      </w:r>
    </w:p>
    <w:p>
      <w:pPr>
        <w:pStyle w:val="9"/>
        <w:shd w:val="clear" w:color="auto" w:fill="FFFFFF"/>
        <w:tabs>
          <w:tab w:val="left" w:pos="6510"/>
        </w:tabs>
        <w:spacing w:after="0" w:line="480" w:lineRule="auto"/>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9"/>
        <w:shd w:val="clear" w:color="auto" w:fill="FFFFFF"/>
        <w:tabs>
          <w:tab w:val="left" w:pos="6510"/>
        </w:tabs>
        <w:spacing w:after="0" w:line="480" w:lineRule="auto"/>
      </w:pP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600元/天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pPr>
      <w:r>
        <w:rPr>
          <w:rFonts w:hint="eastAsia"/>
          <w:shd w:val="clear" w:color="auto" w:fill="FFFFFF"/>
        </w:rPr>
        <w:t>2 、第二住宿酒店：</w:t>
      </w:r>
      <w:r>
        <w:rPr>
          <w:rFonts w:hint="eastAsia"/>
          <w:bCs/>
        </w:rPr>
        <w:t>山西金蓉家园酒店</w:t>
      </w:r>
      <w:r>
        <w:rPr>
          <w:rFonts w:hint="eastAsia"/>
        </w:rPr>
        <w:t>（四星级）</w:t>
      </w:r>
    </w:p>
    <w:p>
      <w:pPr>
        <w:pStyle w:val="9"/>
        <w:shd w:val="clear" w:color="auto" w:fill="FFFFFF"/>
        <w:tabs>
          <w:tab w:val="left" w:pos="6510"/>
        </w:tabs>
        <w:spacing w:after="0" w:line="480" w:lineRule="auto"/>
        <w:rPr>
          <w:shd w:val="clear" w:color="auto" w:fill="FFFFFF"/>
        </w:rPr>
      </w:pPr>
      <w:r>
        <w:rPr>
          <w:rFonts w:hint="eastAsia"/>
        </w:rPr>
        <w:t>地 址：山西省太原市迎泽大街135号</w:t>
      </w:r>
      <w:r>
        <w:rPr>
          <w:rFonts w:hint="eastAsia"/>
          <w:shd w:val="clear" w:color="auto" w:fill="FFFFFF"/>
        </w:rPr>
        <w:t>，住宿费用自理。</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400元/天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w:t>
      </w:r>
    </w:p>
    <w:p>
      <w:pPr>
        <w:pStyle w:val="9"/>
        <w:shd w:val="clear" w:color="auto" w:fill="FFFFFF"/>
        <w:tabs>
          <w:tab w:val="left" w:pos="6510"/>
        </w:tabs>
        <w:spacing w:after="0" w:line="480" w:lineRule="auto"/>
        <w:rPr>
          <w:color w:val="FF0000"/>
          <w:sz w:val="28"/>
          <w:szCs w:val="28"/>
        </w:rPr>
      </w:pPr>
      <w:r>
        <w:rPr>
          <w:rFonts w:hint="eastAsia"/>
          <w:color w:val="FF0000"/>
          <w:sz w:val="28"/>
          <w:szCs w:val="28"/>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sz w:val="24"/>
        </w:rPr>
      </w:pPr>
      <w:r>
        <w:rPr>
          <w:rFonts w:hint="eastAsia" w:ascii="宋体" w:hAnsi="宋体" w:cs="宋体"/>
          <w:kern w:val="0"/>
          <w:sz w:val="24"/>
        </w:rPr>
        <w:t>汇款时请注明入住参会代表姓名及单位名称。</w:t>
      </w:r>
      <w:r>
        <w:rPr>
          <w:rFonts w:hint="eastAsia" w:ascii="宋体" w:hAnsi="宋体" w:cs="宋体"/>
          <w:sz w:val="24"/>
        </w:rPr>
        <w:t xml:space="preserve"> </w:t>
      </w:r>
    </w:p>
    <w:p>
      <w:pPr>
        <w:spacing w:line="48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48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hint="eastAsia" w:ascii="宋体" w:hAnsi="宋体" w:cs="宋体"/>
          <w:color w:val="0070C0"/>
          <w:sz w:val="24"/>
        </w:rPr>
      </w:pPr>
      <w:r>
        <w:rPr>
          <w:rFonts w:hint="eastAsia" w:ascii="宋体" w:hAnsi="宋体" w:cs="宋体"/>
          <w:color w:val="0070C0"/>
          <w:sz w:val="24"/>
        </w:rPr>
        <w:t>3、</w:t>
      </w:r>
      <w:r>
        <w:rPr>
          <w:rFonts w:hint="eastAsia" w:ascii="Arial" w:hAnsi="Arial" w:cs="Arial"/>
          <w:bCs/>
          <w:color w:val="0070C0"/>
          <w:sz w:val="24"/>
        </w:rPr>
        <w:t>太原机场大巴的发车路线、时刻表及票价详情</w:t>
      </w:r>
    </w:p>
    <w:p>
      <w:pPr>
        <w:spacing w:line="360" w:lineRule="auto"/>
        <w:rPr>
          <w:rFonts w:hint="eastAsia" w:ascii="宋体" w:hAnsi="宋体" w:eastAsia="宋体" w:cs="Arial"/>
          <w:color w:val="0070C0"/>
          <w:sz w:val="24"/>
          <w:shd w:val="clear" w:color="auto" w:fill="FFFFFF"/>
        </w:rPr>
      </w:pPr>
      <w:r>
        <w:rPr>
          <w:rFonts w:hint="eastAsia" w:ascii="宋体" w:hAnsi="宋体" w:eastAsia="宋体" w:cs="Arial"/>
          <w:bCs/>
          <w:color w:val="0070C0"/>
          <w:sz w:val="24"/>
        </w:rPr>
        <w:t>机场大巴一号线行驶的路线</w:t>
      </w:r>
      <w:r>
        <w:rPr>
          <w:rFonts w:hint="eastAsia" w:ascii="宋体" w:hAnsi="宋体" w:eastAsia="宋体" w:cs="Arial"/>
          <w:color w:val="0070C0"/>
          <w:sz w:val="24"/>
          <w:shd w:val="clear" w:color="auto" w:fill="FFFFFF"/>
        </w:rPr>
        <w:t>：从机场一号二号航站楼门前机场大巴停靠站始发，终点是位于迎泽大街的五一广场三晋国际饭店门口东侧，途径龙城大街-太榆路- 建设路-迎泽大街--火车站--五一广场（去太原湖滨酒店从本站下车，距离酒店约一公里，步行预计11分钟）。 机场大巴一号线的发车频率教:从早晨6点开始第一班：第二班的发车时间为8点钟。早晨9.30分开始10.30分、11.30分.12.30分.13.30分.14.30分.15.30分.16.30分.17.30分.18.30分.19.30分.20.30分结束每日共计12班车次，单程票价为15元/人。</w:t>
      </w:r>
    </w:p>
    <w:p>
      <w:pPr>
        <w:spacing w:line="360" w:lineRule="auto"/>
        <w:rPr>
          <w:rFonts w:hint="eastAsia" w:ascii="宋体" w:hAnsi="宋体" w:eastAsia="宋体" w:cs="宋体"/>
          <w:color w:val="0070C0"/>
          <w:sz w:val="24"/>
        </w:rPr>
      </w:pPr>
      <w:r>
        <w:rPr>
          <w:rFonts w:hint="eastAsia" w:ascii="宋体" w:hAnsi="宋体" w:eastAsia="宋体" w:cs="Arial"/>
          <w:bCs/>
          <w:color w:val="0070C0"/>
          <w:sz w:val="24"/>
        </w:rPr>
        <w:t>机场大巴二号线行驶的路线：</w:t>
      </w:r>
      <w:r>
        <w:rPr>
          <w:rFonts w:hint="eastAsia" w:ascii="宋体" w:hAnsi="宋体" w:eastAsia="宋体" w:cs="Arial"/>
          <w:color w:val="0070C0"/>
          <w:sz w:val="24"/>
          <w:shd w:val="clear" w:color="auto" w:fill="FFFFFF"/>
        </w:rPr>
        <w:t>从机场一号二号航站楼门前的机场大巴停靠站始发，终点站是位于迎泽大街西山大厦门口，途经- 龙城大街 -- 滨河西路 --迎泽西大街-- 太原西客站。机场大巴二号线的发车频率较小:每日共计2班每日11:00.16:00共计2班，单程票价为15元/人。</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详细地址和电话</w:t>
            </w:r>
            <w:r>
              <w:rPr>
                <w:rFonts w:hint="eastAsia" w:ascii="宋体" w:hAnsi="宋体"/>
                <w:color w:val="0070C0"/>
                <w:kern w:val="0"/>
                <w:szCs w:val="21"/>
              </w:rPr>
              <w:t xml:space="preserve">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rPr>
              <w:t>  </w:t>
            </w: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2020-09-18T07:33:09Z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